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DAB2B0" w14:textId="77777777" w:rsidR="00D31925" w:rsidRPr="007E0D26" w:rsidRDefault="00000000" w:rsidP="007E0D26">
      <w:pPr>
        <w:spacing w:before="240" w:after="240"/>
        <w:jc w:val="center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sz w:val="32"/>
          <w:szCs w:val="32"/>
          <w:lang w:val="en-US"/>
        </w:rPr>
        <w:t>README — Reproducibility package (Uganda)</w:t>
      </w:r>
    </w:p>
    <w:p w14:paraId="2B05F157" w14:textId="77777777" w:rsidR="00D31925" w:rsidRPr="007E0D26" w:rsidRDefault="00000000" w:rsidP="007E0D26">
      <w:pPr>
        <w:spacing w:before="240" w:after="240" w:line="360" w:lineRule="auto"/>
        <w:jc w:val="center"/>
        <w:rPr>
          <w:rFonts w:ascii="Garamond" w:hAnsi="Garamond"/>
          <w:i/>
          <w:iCs/>
          <w:sz w:val="28"/>
          <w:szCs w:val="28"/>
          <w:lang w:val="en-US"/>
        </w:rPr>
      </w:pPr>
      <w:r w:rsidRPr="007E0D26">
        <w:rPr>
          <w:rFonts w:ascii="Garamond" w:hAnsi="Garamond"/>
          <w:b/>
          <w:bCs/>
          <w:i/>
          <w:iCs/>
          <w:sz w:val="28"/>
          <w:szCs w:val="28"/>
          <w:lang w:val="en-US"/>
        </w:rPr>
        <w:t>"Not Too Much, Not Too Little: A Goldilocks approach to sustainable, universal electricity access in sub-Saharan Africa"</w:t>
      </w:r>
    </w:p>
    <w:p w14:paraId="1E08638F" w14:textId="77777777" w:rsidR="00D31925" w:rsidRPr="007E0D26" w:rsidRDefault="00000000" w:rsidP="007E0D26">
      <w:pPr>
        <w:spacing w:before="240" w:after="240"/>
        <w:jc w:val="center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Santos J. Díaz-Pastor, Yang Liu, Ignacio J. Pérez-Arriaga</w:t>
      </w:r>
    </w:p>
    <w:p w14:paraId="42E02D55" w14:textId="77777777" w:rsidR="00D31925" w:rsidRPr="007E0D26" w:rsidRDefault="00000000" w:rsidP="007E0D26">
      <w:pPr>
        <w:spacing w:before="240" w:after="240"/>
        <w:jc w:val="center"/>
        <w:rPr>
          <w:rFonts w:ascii="Garamond" w:hAnsi="Garamond"/>
          <w:lang w:val="en-US"/>
        </w:rPr>
      </w:pPr>
      <w:r w:rsidRPr="007E0D26">
        <w:rPr>
          <w:rFonts w:ascii="Garamond" w:hAnsi="Garamond"/>
          <w:i/>
          <w:iCs/>
          <w:sz w:val="19"/>
          <w:szCs w:val="19"/>
          <w:lang w:val="en-US"/>
        </w:rPr>
        <w:t>Massachusetts Institute of Technology (MIT); Institute for Research in Technology, Comillas Pontifical University; World Bank Group.</w:t>
      </w:r>
    </w:p>
    <w:p w14:paraId="60B29CD6" w14:textId="77777777" w:rsidR="007E0D26" w:rsidRDefault="007E0D26" w:rsidP="007647A5">
      <w:pPr>
        <w:pStyle w:val="Ttulo1"/>
      </w:pPr>
    </w:p>
    <w:p w14:paraId="52E09AF3" w14:textId="6D4A913C" w:rsidR="00D31925" w:rsidRPr="007647A5" w:rsidRDefault="00000000" w:rsidP="007647A5">
      <w:pPr>
        <w:pStyle w:val="Ttulo1"/>
      </w:pPr>
      <w:r w:rsidRPr="007647A5">
        <w:t>1. Overview</w:t>
      </w:r>
    </w:p>
    <w:p w14:paraId="0DA5464E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 xml:space="preserve">This package reproduces the </w:t>
      </w:r>
      <w:r w:rsidRPr="007E0D26">
        <w:rPr>
          <w:rFonts w:ascii="Garamond" w:hAnsi="Garamond"/>
          <w:b/>
          <w:bCs/>
          <w:lang w:val="en-US"/>
        </w:rPr>
        <w:t>Uganda</w:t>
      </w:r>
      <w:r w:rsidRPr="007E0D26">
        <w:rPr>
          <w:rFonts w:ascii="Garamond" w:hAnsi="Garamond"/>
          <w:lang w:val="en-US"/>
        </w:rPr>
        <w:t xml:space="preserve"> results of the manuscript. It contains two Microsoft Excel workbooks that constitute the Uganda regulatory–financial model underlying </w:t>
      </w:r>
      <w:r w:rsidRPr="007E0D26">
        <w:rPr>
          <w:rFonts w:ascii="Garamond" w:hAnsi="Garamond"/>
          <w:b/>
          <w:bCs/>
          <w:lang w:val="en-US"/>
        </w:rPr>
        <w:t>Section 4</w:t>
      </w:r>
      <w:r w:rsidRPr="007E0D26">
        <w:rPr>
          <w:rFonts w:ascii="Garamond" w:hAnsi="Garamond"/>
          <w:lang w:val="en-US"/>
        </w:rPr>
        <w:t xml:space="preserve"> of the paper:</w:t>
      </w:r>
    </w:p>
    <w:p w14:paraId="1886D2A3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eastAsia="Consolas" w:hAnsi="Garamond" w:cs="Consolas"/>
          <w:sz w:val="20"/>
          <w:szCs w:val="20"/>
          <w:lang w:val="en-US"/>
        </w:rPr>
        <w:t>Uganda_Electrification_Model_2030.xlsx</w:t>
      </w:r>
      <w:r w:rsidRPr="007E0D26">
        <w:rPr>
          <w:rFonts w:ascii="Garamond" w:hAnsi="Garamond"/>
          <w:lang w:val="en-US"/>
        </w:rPr>
        <w:t xml:space="preserve"> — base case, universal access by 2030.</w:t>
      </w:r>
    </w:p>
    <w:p w14:paraId="074B88D1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eastAsia="Consolas" w:hAnsi="Garamond" w:cs="Consolas"/>
          <w:sz w:val="20"/>
          <w:szCs w:val="20"/>
          <w:lang w:val="en-US"/>
        </w:rPr>
        <w:t>Uganda_Electrification_Model_2040.xlsx</w:t>
      </w:r>
      <w:r w:rsidRPr="007E0D26">
        <w:rPr>
          <w:rFonts w:ascii="Garamond" w:hAnsi="Garamond"/>
          <w:lang w:val="en-US"/>
        </w:rPr>
        <w:t xml:space="preserve"> — extended-horizon scenario, universal access by 2040 (same model structure and assumptions, longer timeline).</w:t>
      </w:r>
    </w:p>
    <w:p w14:paraId="77CC65FB" w14:textId="648FD5F4" w:rsidR="00D31925" w:rsidRPr="007E0D26" w:rsidRDefault="00000000" w:rsidP="007E0D26">
      <w:pPr>
        <w:spacing w:after="120" w:line="276" w:lineRule="auto"/>
        <w:jc w:val="both"/>
        <w:rPr>
          <w:rFonts w:ascii="Garamond" w:eastAsia="Consolas" w:hAnsi="Garamond" w:cs="Consolas"/>
          <w:sz w:val="20"/>
          <w:szCs w:val="20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Provenance and full documentation. </w:t>
      </w:r>
      <w:r w:rsidRPr="007E0D26">
        <w:rPr>
          <w:rFonts w:ascii="Garamond" w:hAnsi="Garamond"/>
          <w:lang w:val="en-US"/>
        </w:rPr>
        <w:t xml:space="preserve">This is the model published in the companion paper, Díaz-Pastor and Pérez-Arriaga (2025), </w:t>
      </w:r>
      <w:r w:rsidRPr="007E0D26">
        <w:rPr>
          <w:rFonts w:ascii="Garamond" w:hAnsi="Garamond"/>
          <w:b/>
          <w:bCs/>
          <w:lang w:val="en-US"/>
        </w:rPr>
        <w:t>Energy Economics</w:t>
      </w:r>
      <w:r w:rsidRPr="007E0D26">
        <w:rPr>
          <w:rFonts w:ascii="Garamond" w:hAnsi="Garamond"/>
          <w:lang w:val="en-US"/>
        </w:rPr>
        <w:t xml:space="preserve"> 152, 109033 (</w:t>
      </w:r>
      <w:hyperlink r:id="rId5" w:history="1">
        <w:r w:rsidR="007E0D26" w:rsidRPr="00D75294">
          <w:rPr>
            <w:rStyle w:val="Hipervnculo"/>
            <w:rFonts w:ascii="Garamond" w:eastAsia="Consolas" w:hAnsi="Garamond" w:cs="Consolas"/>
            <w:sz w:val="20"/>
            <w:szCs w:val="20"/>
            <w:lang w:val="en-US"/>
          </w:rPr>
          <w:t>https://doi.org/10.1016/j.eneco.2025.109033</w:t>
        </w:r>
      </w:hyperlink>
      <w:r w:rsidRPr="007E0D26">
        <w:rPr>
          <w:rFonts w:ascii="Garamond" w:hAnsi="Garamond"/>
          <w:lang w:val="en-US"/>
        </w:rPr>
        <w:t xml:space="preserve">), included in this package. That paper documents the complete methodology (Section 4), every data source and assumption (Section 4.2 and </w:t>
      </w:r>
      <w:r w:rsidRPr="007E0D26">
        <w:rPr>
          <w:rFonts w:ascii="Garamond" w:hAnsi="Garamond"/>
          <w:b/>
          <w:bCs/>
          <w:lang w:val="en-US"/>
        </w:rPr>
        <w:t>Table 2</w:t>
      </w:r>
      <w:r w:rsidRPr="007E0D26">
        <w:rPr>
          <w:rFonts w:ascii="Garamond" w:hAnsi="Garamond"/>
          <w:lang w:val="en-US"/>
        </w:rPr>
        <w:t xml:space="preserve">), and the iterative solution algorithm (Section 4.1.2, Eqs. 1–4). The Uganda comparative results appear in this manuscript as </w:t>
      </w:r>
      <w:r w:rsidRPr="007E0D26">
        <w:rPr>
          <w:rFonts w:ascii="Garamond" w:hAnsi="Garamond"/>
          <w:b/>
          <w:bCs/>
          <w:lang w:val="en-US"/>
        </w:rPr>
        <w:t>Table 1</w:t>
      </w:r>
      <w:r w:rsidRPr="007E0D26">
        <w:rPr>
          <w:rFonts w:ascii="Garamond" w:hAnsi="Garamond"/>
          <w:lang w:val="en-US"/>
        </w:rPr>
        <w:t xml:space="preserve">, which corresponds to </w:t>
      </w:r>
      <w:r w:rsidRPr="007E0D26">
        <w:rPr>
          <w:rFonts w:ascii="Garamond" w:hAnsi="Garamond"/>
          <w:b/>
          <w:bCs/>
          <w:lang w:val="en-US"/>
        </w:rPr>
        <w:t>Table 4 of the companion paper</w:t>
      </w:r>
      <w:r w:rsidRPr="007E0D26">
        <w:rPr>
          <w:rFonts w:ascii="Garamond" w:hAnsi="Garamond"/>
          <w:lang w:val="en-US"/>
        </w:rPr>
        <w:t xml:space="preserve"> (p. 12); the per-year operating figures in Section 4.5 correspond to </w:t>
      </w:r>
      <w:r w:rsidRPr="007E0D26">
        <w:rPr>
          <w:rFonts w:ascii="Garamond" w:hAnsi="Garamond"/>
          <w:b/>
          <w:bCs/>
          <w:lang w:val="en-US"/>
        </w:rPr>
        <w:t>Table 9 of the companion paper</w:t>
      </w:r>
      <w:r w:rsidRPr="007E0D26">
        <w:rPr>
          <w:rFonts w:ascii="Garamond" w:hAnsi="Garamond"/>
          <w:lang w:val="en-US"/>
        </w:rPr>
        <w:t xml:space="preserve"> (p. 17). Every value in this package has been checked against both the workbooks and those published tables.</w:t>
      </w:r>
    </w:p>
    <w:p w14:paraId="777146E4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Scope. </w:t>
      </w:r>
      <w:r w:rsidRPr="007E0D26">
        <w:rPr>
          <w:rFonts w:ascii="Garamond" w:hAnsi="Garamond"/>
          <w:lang w:val="en-US"/>
        </w:rPr>
        <w:t>This package reproduces only the Uganda exhibits and in-text figures. The Zambia results (Table 2; Section 5) are reproduced by a separate package. The Madagascar results (Table 3) are transcribed from third-party sources and are not model outputs. Figures 1–2 and Table 4 are conceptual or synthetic. See the List of Exhibits for the exact mapping.</w:t>
      </w:r>
    </w:p>
    <w:p w14:paraId="4FB98AA5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How to read a value. </w:t>
      </w:r>
      <w:r w:rsidRPr="007E0D26">
        <w:rPr>
          <w:rFonts w:ascii="Garamond" w:hAnsi="Garamond"/>
          <w:lang w:val="en-US"/>
        </w:rPr>
        <w:t>There is no code to execute and no manual calculation: every reported value is computed by native Excel formulas. To reproduce a figure, open the indicated workbook and read the indicated worksheet and cell.</w:t>
      </w:r>
    </w:p>
    <w:p w14:paraId="1C08B27C" w14:textId="77777777" w:rsidR="00D31925" w:rsidRPr="007E0D26" w:rsidRDefault="00000000" w:rsidP="007647A5">
      <w:pPr>
        <w:pStyle w:val="Ttulo1"/>
      </w:pPr>
      <w:r w:rsidRPr="007E0D26">
        <w:t>2. Data Availability</w:t>
      </w:r>
    </w:p>
    <w:p w14:paraId="14B41105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>Data-availability category:</w:t>
      </w:r>
    </w:p>
    <w:p w14:paraId="5AFDBBB7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[ ] All data are publicly available.</w:t>
      </w:r>
    </w:p>
    <w:p w14:paraId="53173F95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[X] Some data cannot be made publicly available. </w:t>
      </w:r>
      <w:r w:rsidRPr="007E0D26">
        <w:rPr>
          <w:rFonts w:ascii="Garamond" w:hAnsi="Garamond"/>
          <w:lang w:val="en-US"/>
        </w:rPr>
        <w:t xml:space="preserve">The model relies predominantly on publicly accessible primary sources (listed below). A small number of inputs — notably financing terms and the returns agreed with project stakeholders, and values calibrated against audited utility accounts — are embedded model parameters rather than separately downloadable datasets. </w:t>
      </w:r>
      <w:r w:rsidRPr="007E0D26">
        <w:rPr>
          <w:rFonts w:ascii="Garamond" w:hAnsi="Garamond"/>
          <w:b/>
          <w:bCs/>
          <w:lang w:val="en-US"/>
        </w:rPr>
        <w:t>All of them are documented and justified in the included companion paper, Section 4.2 and Table 2</w:t>
      </w:r>
      <w:r w:rsidRPr="007E0D26">
        <w:rPr>
          <w:rFonts w:ascii="Garamond" w:hAnsi="Garamond"/>
          <w:lang w:val="en-US"/>
        </w:rPr>
        <w:t>, with full citations in its reference list.</w:t>
      </w:r>
    </w:p>
    <w:p w14:paraId="3DEF2ABE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[ ] No data can be made publicly available.</w:t>
      </w:r>
    </w:p>
    <w:p w14:paraId="1B479F48" w14:textId="77777777" w:rsidR="00D31925" w:rsidRPr="007647A5" w:rsidRDefault="00000000" w:rsidP="007647A5">
      <w:pPr>
        <w:pStyle w:val="Ttulo2"/>
      </w:pPr>
      <w:r w:rsidRPr="007647A5">
        <w:lastRenderedPageBreak/>
        <w:t>2.1 Data sources</w:t>
      </w:r>
    </w:p>
    <w:p w14:paraId="25B641FC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 xml:space="preserve">No external dataset is loaded at run time; all inputs are embedded in the workbooks. The categories below summarize their origin; the authoritative, parameter-by-parameter documentation (value, time frame, source) is the companion paper, </w:t>
      </w:r>
      <w:r w:rsidRPr="007E0D26">
        <w:rPr>
          <w:rFonts w:ascii="Garamond" w:hAnsi="Garamond"/>
          <w:b/>
          <w:bCs/>
          <w:lang w:val="en-US"/>
        </w:rPr>
        <w:t>Table 2</w:t>
      </w:r>
      <w:r w:rsidRPr="007E0D26">
        <w:rPr>
          <w:rFonts w:ascii="Garamond" w:hAnsi="Garamond"/>
          <w:lang w:val="en-US"/>
        </w:rPr>
        <w:t>.</w:t>
      </w:r>
    </w:p>
    <w:p w14:paraId="5C0E1632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Electrification plan, connection targets, and unit costs. </w:t>
      </w:r>
      <w:r w:rsidRPr="007E0D26">
        <w:rPr>
          <w:rFonts w:ascii="Garamond" w:hAnsi="Garamond"/>
          <w:lang w:val="en-US"/>
        </w:rPr>
        <w:t xml:space="preserve">Uganda National Electrification Strategy (MEMD &amp; World Bank, 2022). Encoded in the 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>NES</w:t>
      </w:r>
      <w:r w:rsidRPr="007E0D26">
        <w:rPr>
          <w:rFonts w:ascii="Garamond" w:hAnsi="Garamond"/>
          <w:lang w:val="en-US"/>
        </w:rPr>
        <w:t xml:space="preserve"> worksheet.</w:t>
      </w:r>
    </w:p>
    <w:p w14:paraId="2376581A" w14:textId="31CC6839" w:rsidR="00D31925" w:rsidRPr="007E0D26" w:rsidRDefault="00000000" w:rsidP="007E0D26">
      <w:pPr>
        <w:pStyle w:val="Prrafodelista"/>
        <w:numPr>
          <w:ilvl w:val="1"/>
          <w:numId w:val="1"/>
        </w:numPr>
        <w:spacing w:after="6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Source / URL: </w:t>
      </w:r>
      <w:hyperlink r:id="rId6" w:history="1">
        <w:r w:rsidR="007E0D26" w:rsidRPr="00D75294">
          <w:rPr>
            <w:rStyle w:val="Hipervnculo"/>
            <w:rFonts w:ascii="Garamond" w:eastAsia="Consolas" w:hAnsi="Garamond" w:cs="Consolas"/>
            <w:sz w:val="20"/>
            <w:szCs w:val="20"/>
            <w:lang w:val="en-US"/>
          </w:rPr>
          <w:t>https://nrep.ug/document/national-electrification-strategy-for-uganda-national-electrification-strategy-study-report-nessr-vol1/</w:t>
        </w:r>
      </w:hyperlink>
    </w:p>
    <w:p w14:paraId="0E1EB26B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>Macroeconomic path (GDP growth, USD/</w:t>
      </w:r>
      <w:proofErr w:type="spellStart"/>
      <w:r w:rsidRPr="007E0D26">
        <w:rPr>
          <w:rFonts w:ascii="Garamond" w:hAnsi="Garamond"/>
          <w:b/>
          <w:bCs/>
          <w:lang w:val="en-US"/>
        </w:rPr>
        <w:t>USh</w:t>
      </w:r>
      <w:proofErr w:type="spellEnd"/>
      <w:r w:rsidRPr="007E0D26">
        <w:rPr>
          <w:rFonts w:ascii="Garamond" w:hAnsi="Garamond"/>
          <w:b/>
          <w:bCs/>
          <w:lang w:val="en-US"/>
        </w:rPr>
        <w:t xml:space="preserve"> inflation, FX). </w:t>
      </w:r>
      <w:r w:rsidRPr="007E0D26">
        <w:rPr>
          <w:rFonts w:ascii="Garamond" w:hAnsi="Garamond"/>
          <w:lang w:val="en-US"/>
        </w:rPr>
        <w:t>IMF World Economic Outlook (Uganda).</w:t>
      </w:r>
    </w:p>
    <w:p w14:paraId="4AAF6599" w14:textId="2511B0C6" w:rsidR="00D31925" w:rsidRPr="007E0D26" w:rsidRDefault="00000000" w:rsidP="007E0D26">
      <w:pPr>
        <w:pStyle w:val="Prrafodelista"/>
        <w:numPr>
          <w:ilvl w:val="1"/>
          <w:numId w:val="1"/>
        </w:numPr>
        <w:spacing w:after="6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Source / URL: </w:t>
      </w:r>
      <w:hyperlink r:id="rId7" w:history="1">
        <w:r w:rsidR="007E0D26" w:rsidRPr="00D75294">
          <w:rPr>
            <w:rStyle w:val="Hipervnculo"/>
            <w:rFonts w:ascii="Garamond" w:eastAsia="Consolas" w:hAnsi="Garamond" w:cs="Consolas"/>
            <w:sz w:val="20"/>
            <w:szCs w:val="20"/>
            <w:lang w:val="en-US"/>
          </w:rPr>
          <w:t>https://www.imf.org/en/Countries/UGA</w:t>
        </w:r>
      </w:hyperlink>
    </w:p>
    <w:p w14:paraId="45D9774C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Tariff baseline and schedule. </w:t>
      </w:r>
      <w:r w:rsidRPr="007E0D26">
        <w:rPr>
          <w:rFonts w:ascii="Garamond" w:hAnsi="Garamond"/>
          <w:lang w:val="en-US"/>
        </w:rPr>
        <w:t>ERA Q4-2024 approved tariffs by consumer category.</w:t>
      </w:r>
    </w:p>
    <w:p w14:paraId="42C27AD9" w14:textId="55803F56" w:rsidR="00D31925" w:rsidRPr="007E0D26" w:rsidRDefault="00000000" w:rsidP="007E0D26">
      <w:pPr>
        <w:pStyle w:val="Prrafodelista"/>
        <w:numPr>
          <w:ilvl w:val="1"/>
          <w:numId w:val="1"/>
        </w:numPr>
        <w:spacing w:after="6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Source / URL: </w:t>
      </w:r>
      <w:hyperlink r:id="rId8" w:history="1">
        <w:r w:rsidR="007E0D26" w:rsidRPr="00D75294">
          <w:rPr>
            <w:rStyle w:val="Hipervnculo"/>
            <w:rFonts w:ascii="Garamond" w:eastAsia="Consolas" w:hAnsi="Garamond" w:cs="Consolas"/>
            <w:sz w:val="20"/>
            <w:szCs w:val="20"/>
            <w:lang w:val="en-US"/>
          </w:rPr>
          <w:t>https://www.era.go.ug/tariff-schedules/</w:t>
        </w:r>
      </w:hyperlink>
    </w:p>
    <w:p w14:paraId="39EFA150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Utility historical and calibration data. </w:t>
      </w:r>
      <w:r w:rsidRPr="007E0D26">
        <w:rPr>
          <w:rFonts w:ascii="Garamond" w:hAnsi="Garamond"/>
          <w:lang w:val="en-US"/>
        </w:rPr>
        <w:t>Umeme Ltd and UEDCL annual reports (2018–2024); 20% concession return from Twesigye (2023).</w:t>
      </w:r>
    </w:p>
    <w:p w14:paraId="390C42AB" w14:textId="08409B36" w:rsidR="00D31925" w:rsidRPr="007E0D26" w:rsidRDefault="00000000" w:rsidP="007E0D26">
      <w:pPr>
        <w:pStyle w:val="Prrafodelista"/>
        <w:numPr>
          <w:ilvl w:val="1"/>
          <w:numId w:val="1"/>
        </w:numPr>
        <w:spacing w:after="6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Source / URL: </w:t>
      </w:r>
      <w:hyperlink r:id="rId9" w:history="1">
        <w:r w:rsidR="007E0D26" w:rsidRPr="00D75294">
          <w:rPr>
            <w:rStyle w:val="Hipervnculo"/>
            <w:rFonts w:ascii="Garamond" w:eastAsia="Consolas" w:hAnsi="Garamond" w:cs="Consolas"/>
            <w:sz w:val="20"/>
            <w:szCs w:val="20"/>
            <w:lang w:val="en-US"/>
          </w:rPr>
          <w:t>https://www.umeme.co.ug</w:t>
        </w:r>
      </w:hyperlink>
      <w:r w:rsidR="007E0D26">
        <w:rPr>
          <w:rFonts w:ascii="Garamond" w:eastAsia="Consolas" w:hAnsi="Garamond" w:cs="Consolas"/>
          <w:sz w:val="20"/>
          <w:szCs w:val="20"/>
          <w:lang w:val="en-US"/>
        </w:rPr>
        <w:t xml:space="preserve"> 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 xml:space="preserve">· </w:t>
      </w:r>
      <w:hyperlink r:id="rId10" w:history="1">
        <w:r w:rsidR="007E0D26" w:rsidRPr="007E0D26">
          <w:rPr>
            <w:rStyle w:val="Hipervnculo"/>
            <w:rFonts w:ascii="Garamond" w:eastAsia="Consolas" w:hAnsi="Garamond" w:cs="Consolas"/>
            <w:sz w:val="20"/>
            <w:szCs w:val="20"/>
            <w:lang w:val="en-US"/>
          </w:rPr>
          <w:t>https://www.uedcl.co.ug</w:t>
        </w:r>
      </w:hyperlink>
    </w:p>
    <w:p w14:paraId="26667456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Corporate tax rate. </w:t>
      </w:r>
      <w:r w:rsidRPr="007E0D26">
        <w:rPr>
          <w:rFonts w:ascii="Garamond" w:hAnsi="Garamond"/>
          <w:lang w:val="en-US"/>
        </w:rPr>
        <w:t>PwC Uganda corporate tax summary (30%).</w:t>
      </w:r>
    </w:p>
    <w:p w14:paraId="4389D564" w14:textId="0BDBA0BA" w:rsidR="00D31925" w:rsidRPr="007E0D26" w:rsidRDefault="00000000" w:rsidP="007E0D26">
      <w:pPr>
        <w:pStyle w:val="Prrafodelista"/>
        <w:numPr>
          <w:ilvl w:val="1"/>
          <w:numId w:val="1"/>
        </w:numPr>
        <w:spacing w:after="6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Source / URL: </w:t>
      </w:r>
      <w:hyperlink r:id="rId11" w:history="1">
        <w:r w:rsidR="007E0D26" w:rsidRPr="00D75294">
          <w:rPr>
            <w:rStyle w:val="Hipervnculo"/>
            <w:rFonts w:ascii="Garamond" w:eastAsia="Consolas" w:hAnsi="Garamond" w:cs="Consolas"/>
            <w:sz w:val="20"/>
            <w:szCs w:val="20"/>
            <w:lang w:val="en-US"/>
          </w:rPr>
          <w:t>https://taxsummaries.pwc.com/uganda/corporate/taxes-on-corporate-income</w:t>
        </w:r>
      </w:hyperlink>
    </w:p>
    <w:p w14:paraId="19CC487A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Financing terms and agreed returns. </w:t>
      </w:r>
      <w:r w:rsidRPr="007E0D26">
        <w:rPr>
          <w:rFonts w:ascii="Garamond" w:hAnsi="Garamond"/>
          <w:lang w:val="en-US"/>
        </w:rPr>
        <w:t>Grants pro-rata with CAPEX; concessional debt 2% / 6-yr grace; commercial debt 8%; off-grid 12% return; SHS regulated payment USD 12/</w:t>
      </w:r>
      <w:proofErr w:type="spellStart"/>
      <w:r w:rsidRPr="007E0D26">
        <w:rPr>
          <w:rFonts w:ascii="Garamond" w:hAnsi="Garamond"/>
          <w:lang w:val="en-US"/>
        </w:rPr>
        <w:t>hh</w:t>
      </w:r>
      <w:proofErr w:type="spellEnd"/>
      <w:r w:rsidRPr="007E0D26">
        <w:rPr>
          <w:rFonts w:ascii="Garamond" w:hAnsi="Garamond"/>
          <w:lang w:val="en-US"/>
        </w:rPr>
        <w:t>-yr. Documented in the EU sector stocktaking (Pérez-Arriaga, Díaz-Pastor &amp; de Abajo, 2022) and de Abajo (2023); see companion paper Table 2.</w:t>
      </w:r>
    </w:p>
    <w:p w14:paraId="4D05406B" w14:textId="77777777" w:rsidR="00D31925" w:rsidRPr="007E0D26" w:rsidRDefault="00000000" w:rsidP="007647A5">
      <w:pPr>
        <w:pStyle w:val="Ttulo2"/>
      </w:pPr>
      <w:r w:rsidRPr="007E0D26">
        <w:t>2.2 Statement about rights</w:t>
      </w:r>
    </w:p>
    <w:p w14:paraId="5D852961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To be certified by the authors (the primary sources above are public; access is documented in the companion paper):</w:t>
      </w:r>
    </w:p>
    <w:p w14:paraId="58914647" w14:textId="6809FCB7" w:rsidR="00D31925" w:rsidRPr="007E0D26" w:rsidRDefault="007E0D26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b/>
          <w:bCs/>
          <w:lang w:val="en-US"/>
        </w:rPr>
      </w:pPr>
      <w:r w:rsidRPr="007E0D26">
        <w:rPr>
          <w:rFonts w:ascii="Garamond" w:hAnsi="Garamond"/>
          <w:b/>
          <w:bCs/>
          <w:lang w:val="en-US"/>
        </w:rPr>
        <w:t>[X] I certify that the author(s) have legitimate access to and permission to use the data used in this manuscript.</w:t>
      </w:r>
    </w:p>
    <w:p w14:paraId="5841FC0A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[ ] I certify that the author(s) have documented permission to redistribute/publish the data contained within this package.</w:t>
      </w:r>
    </w:p>
    <w:p w14:paraId="766EFB33" w14:textId="77777777" w:rsidR="00D31925" w:rsidRPr="007E0D26" w:rsidRDefault="00000000" w:rsidP="007647A5">
      <w:pPr>
        <w:pStyle w:val="Ttulo1"/>
      </w:pPr>
      <w:r w:rsidRPr="007E0D26">
        <w:t>3. Instructions for Replicators</w:t>
      </w:r>
    </w:p>
    <w:p w14:paraId="1AA7BF21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Software. </w:t>
      </w:r>
      <w:r w:rsidRPr="007E0D26">
        <w:rPr>
          <w:rFonts w:ascii="Garamond" w:hAnsi="Garamond"/>
          <w:lang w:val="en-US"/>
        </w:rPr>
        <w:t>Open each workbook in Microsoft Excel 2016 or later (or Microsoft 365). No add-ins, macros, or scripts are required.</w:t>
      </w:r>
    </w:p>
    <w:p w14:paraId="305C022C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Iterative calculation is enabled. </w:t>
      </w:r>
      <w:r w:rsidRPr="007E0D26">
        <w:rPr>
          <w:rFonts w:ascii="Garamond" w:hAnsi="Garamond"/>
          <w:lang w:val="en-US"/>
        </w:rPr>
        <w:t xml:space="preserve">The workbooks are delivered with iterative calculation </w:t>
      </w:r>
      <w:r w:rsidRPr="007E0D26">
        <w:rPr>
          <w:rFonts w:ascii="Garamond" w:hAnsi="Garamond"/>
          <w:b/>
          <w:bCs/>
          <w:lang w:val="en-US"/>
        </w:rPr>
        <w:t>on</w:t>
      </w:r>
      <w:r w:rsidRPr="007E0D26">
        <w:rPr>
          <w:rFonts w:ascii="Garamond" w:hAnsi="Garamond"/>
          <w:lang w:val="en-US"/>
        </w:rPr>
        <w:t xml:space="preserve"> (100 iterations, maximum change 0.001). This is required: the model solves the cost-of-service / revenue-requirement equilibrium through an iterative algorithm implemented with circular references (companion paper Section 4.1.2, Eqs. 1–4, converging when the change in subsidy/surplus falls below tolerance ε). If you open a copy where iteration is off and see a circular-reference warning, enable File → Options → Formulas → “Enable iterative calculation” (100 / 0.001) and press F9.</w:t>
      </w:r>
    </w:p>
    <w:p w14:paraId="54CC19C4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Open and recalculate. </w:t>
      </w:r>
      <w:r w:rsidRPr="007E0D26">
        <w:rPr>
          <w:rFonts w:ascii="Garamond" w:hAnsi="Garamond"/>
          <w:lang w:val="en-US"/>
        </w:rPr>
        <w:t>Workbooks recalculate automatically on open. The reported values are also stored as the last computed (cached) results, so they are visible without recalculation.</w:t>
      </w:r>
    </w:p>
    <w:p w14:paraId="35054E7E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lastRenderedPageBreak/>
        <w:t xml:space="preserve">Do not change inputs. </w:t>
      </w:r>
      <w:r w:rsidRPr="007E0D26">
        <w:rPr>
          <w:rFonts w:ascii="Garamond" w:hAnsi="Garamond"/>
          <w:lang w:val="en-US"/>
        </w:rPr>
        <w:t>The workbooks already contain the inputs and assumptions of Section 4; changing an input recalculates and diverges from the published values. To restore, re-download the files.</w:t>
      </w:r>
    </w:p>
    <w:p w14:paraId="27A10CE5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Locate a value. </w:t>
      </w:r>
      <w:r w:rsidRPr="007E0D26">
        <w:rPr>
          <w:rFonts w:ascii="Garamond" w:hAnsi="Garamond"/>
          <w:lang w:val="en-US"/>
        </w:rPr>
        <w:t>Use the List of Exhibits below: it gives the workbook, worksheet, and cell for each Uganda exhibit and in-text figure.</w:t>
      </w:r>
    </w:p>
    <w:p w14:paraId="68786DDA" w14:textId="77777777" w:rsidR="00D31925" w:rsidRPr="007E0D26" w:rsidRDefault="00000000" w:rsidP="007647A5">
      <w:pPr>
        <w:pStyle w:val="Ttulo1"/>
      </w:pPr>
      <w:r w:rsidRPr="007E0D26">
        <w:t>4. List of Exhibits</w:t>
      </w:r>
    </w:p>
    <w:p w14:paraId="6F1B3B07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>The provided Uganda package reproduces:</w:t>
      </w:r>
    </w:p>
    <w:p w14:paraId="02B47EE5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[X] All in-text numbers in Section 4 of the paper (Uganda).</w:t>
      </w:r>
    </w:p>
    <w:p w14:paraId="6174DAB3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[ ] All tables and figures in the paper.</w:t>
      </w:r>
    </w:p>
    <w:p w14:paraId="5AF6F81E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[X] Selected tables and figures, as explained below (the paper's Uganda exhibits; Zambia and Madagascar exhibits are out of scope for this package).</w:t>
      </w:r>
    </w:p>
    <w:p w14:paraId="4F9987BD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i/>
          <w:iCs/>
          <w:sz w:val="19"/>
          <w:szCs w:val="19"/>
          <w:lang w:val="en-US"/>
        </w:rPr>
        <w:t>Worksheet names and cells are quoted exactly as they appear in the workbooks.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0"/>
        <w:gridCol w:w="3950"/>
        <w:gridCol w:w="3626"/>
      </w:tblGrid>
      <w:tr w:rsidR="00D31925" w:rsidRPr="007E0D26" w14:paraId="79F7AA47" w14:textId="77777777" w:rsidTr="00FC4AF4">
        <w:trPr>
          <w:tblHeader/>
        </w:trPr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5E8C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FF94CA1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color w:val="FFFFFF"/>
                <w:lang w:val="en-US"/>
              </w:rPr>
              <w:t>Exhibit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5E8C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9FD96B4" w14:textId="36A7B77B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color w:val="FFFFFF"/>
                <w:lang w:val="en-US"/>
              </w:rPr>
              <w:t>Location in package (workbook → worksheet</w:t>
            </w:r>
            <w:r w:rsidR="00FC4AF4">
              <w:rPr>
                <w:rFonts w:ascii="Garamond" w:hAnsi="Garamond"/>
                <w:b/>
                <w:bCs/>
                <w:color w:val="FFFFFF"/>
                <w:lang w:val="en-US"/>
              </w:rPr>
              <w:t xml:space="preserve"> </w:t>
            </w:r>
            <w:r w:rsidR="00FC4AF4" w:rsidRPr="007E0D26">
              <w:rPr>
                <w:rFonts w:ascii="Garamond" w:hAnsi="Garamond"/>
                <w:b/>
                <w:bCs/>
                <w:color w:val="FFFFFF"/>
                <w:lang w:val="en-US"/>
              </w:rPr>
              <w:t xml:space="preserve">→ </w:t>
            </w:r>
            <w:r w:rsidRPr="007E0D26">
              <w:rPr>
                <w:rFonts w:ascii="Garamond" w:hAnsi="Garamond"/>
                <w:b/>
                <w:bCs/>
                <w:color w:val="FFFFFF"/>
                <w:lang w:val="en-US"/>
              </w:rPr>
              <w:t>cell)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5E8C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08B458C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color w:val="FFFFFF"/>
                <w:lang w:val="en-US"/>
              </w:rPr>
              <w:t>Status / notes</w:t>
            </w:r>
          </w:p>
        </w:tc>
      </w:tr>
      <w:tr w:rsidR="00D31925" w:rsidRPr="007E0D26" w14:paraId="28DC007F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AF2FA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D4C5C42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>Table 1</w:t>
            </w:r>
            <w:r w:rsidRPr="007E0D26">
              <w:rPr>
                <w:rFonts w:ascii="Garamond" w:hAnsi="Garamond"/>
                <w:lang w:val="en-US"/>
              </w:rPr>
              <w:t xml:space="preserve"> — Uganda: key comparative results, 2030 vs 2040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AF2FA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57C1595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Base case: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2030.xlsx</w:t>
            </w:r>
            <w:r w:rsidRPr="007E0D26">
              <w:rPr>
                <w:rFonts w:ascii="Garamond" w:hAnsi="Garamond"/>
                <w:lang w:val="en-US"/>
              </w:rPr>
              <w:t xml:space="preserve"> →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Summary of Tables</w:t>
            </w:r>
            <w:r w:rsidRPr="007E0D26">
              <w:rPr>
                <w:rFonts w:ascii="Garamond" w:hAnsi="Garamond"/>
                <w:lang w:val="en-US"/>
              </w:rPr>
              <w:t xml:space="preserve"> block “Table 4”: avg annual CAPEX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D13</w:t>
            </w:r>
            <w:r w:rsidRPr="007E0D26">
              <w:rPr>
                <w:rFonts w:ascii="Garamond" w:hAnsi="Garamond"/>
                <w:lang w:val="en-US"/>
              </w:rPr>
              <w:t xml:space="preserve">; on-grid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D14</w:t>
            </w:r>
            <w:r w:rsidRPr="007E0D26">
              <w:rPr>
                <w:rFonts w:ascii="Garamond" w:hAnsi="Garamond"/>
                <w:lang w:val="en-US"/>
              </w:rPr>
              <w:t xml:space="preserve">; off-grid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D15</w:t>
            </w:r>
            <w:r w:rsidRPr="007E0D26">
              <w:rPr>
                <w:rFonts w:ascii="Garamond" w:hAnsi="Garamond"/>
                <w:lang w:val="en-US"/>
              </w:rPr>
              <w:t xml:space="preserve">; Finance-Co funding need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D16</w:t>
            </w:r>
            <w:r w:rsidRPr="007E0D26">
              <w:rPr>
                <w:rFonts w:ascii="Garamond" w:hAnsi="Garamond"/>
                <w:lang w:val="en-US"/>
              </w:rPr>
              <w:t xml:space="preserve">; grants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Summary Financing!C37</w:t>
            </w:r>
            <w:r w:rsidRPr="007E0D26">
              <w:rPr>
                <w:rFonts w:ascii="Garamond" w:hAnsi="Garamond"/>
                <w:lang w:val="en-US"/>
              </w:rPr>
              <w:t xml:space="preserve">; concessional debt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Summary Financing!C36</w:t>
            </w:r>
            <w:r w:rsidRPr="007E0D26">
              <w:rPr>
                <w:rFonts w:ascii="Garamond" w:hAnsi="Garamond"/>
                <w:lang w:val="en-US"/>
              </w:rPr>
              <w:t xml:space="preserve">; Finance-Co equity IRR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D19</w:t>
            </w:r>
            <w:r w:rsidRPr="007E0D26">
              <w:rPr>
                <w:rFonts w:ascii="Garamond" w:hAnsi="Garamond"/>
                <w:lang w:val="en-US"/>
              </w:rPr>
              <w:t xml:space="preserve">; off-grid equity IRR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D20</w:t>
            </w:r>
            <w:r w:rsidRPr="007E0D26">
              <w:rPr>
                <w:rFonts w:ascii="Garamond" w:hAnsi="Garamond"/>
                <w:lang w:val="en-US"/>
              </w:rPr>
              <w:t xml:space="preserve">. </w:t>
            </w: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2040: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2040.xlsx</w:t>
            </w:r>
            <w:r w:rsidRPr="007E0D26">
              <w:rPr>
                <w:rFonts w:ascii="Garamond" w:hAnsi="Garamond"/>
                <w:lang w:val="en-US"/>
              </w:rPr>
              <w:t xml:space="preserve"> →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Summary of Tables</w:t>
            </w:r>
            <w:r w:rsidRPr="007E0D26">
              <w:rPr>
                <w:rFonts w:ascii="Garamond" w:hAnsi="Garamond"/>
                <w:lang w:val="en-US"/>
              </w:rPr>
              <w:t xml:space="preserve">: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F12 / F13 / F14 / F15</w:t>
            </w:r>
            <w:r w:rsidRPr="007E0D26">
              <w:rPr>
                <w:rFonts w:ascii="Garamond" w:hAnsi="Garamond"/>
                <w:lang w:val="en-US"/>
              </w:rPr>
              <w:t xml:space="preserve">; grants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Summary Financing!C26</w:t>
            </w:r>
            <w:r w:rsidRPr="007E0D26">
              <w:rPr>
                <w:rFonts w:ascii="Garamond" w:hAnsi="Garamond"/>
                <w:lang w:val="en-US"/>
              </w:rPr>
              <w:t xml:space="preserve">; concessional debt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Summary Financing!C25</w:t>
            </w:r>
            <w:r w:rsidRPr="007E0D26">
              <w:rPr>
                <w:rFonts w:ascii="Garamond" w:hAnsi="Garamond"/>
                <w:lang w:val="en-US"/>
              </w:rPr>
              <w:t xml:space="preserve">; IRRs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F18 / F19</w:t>
            </w:r>
            <w:r w:rsidRPr="007E0D26">
              <w:rPr>
                <w:rFonts w:ascii="Garamond" w:hAnsi="Garamond"/>
                <w:lang w:val="en-US"/>
              </w:rPr>
              <w:t>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AF2FA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454EB84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Reproduced. </w:t>
            </w:r>
            <w:r w:rsidRPr="007E0D26">
              <w:rPr>
                <w:rFonts w:ascii="Garamond" w:hAnsi="Garamond"/>
                <w:lang w:val="en-US"/>
              </w:rPr>
              <w:t>Matches the workbooks and companion Table 4 (p. 12) to full precision. Each workbook computes its own scenario with live formulas; in the comparison block the counterpart-scenario column is static values copied from the other workbook, so the authoritative source of each scenario is its own workbook. The Δ column is computed on unrounded values; printed levels are rounded.</w:t>
            </w:r>
          </w:p>
        </w:tc>
      </w:tr>
      <w:tr w:rsidR="00D31925" w:rsidRPr="007E0D26" w14:paraId="6C9F43F3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B0BBDF0" w14:textId="740C863B" w:rsidR="00D31925" w:rsidRPr="007E0D26" w:rsidRDefault="007E0D26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lang w:val="en-US"/>
              </w:rPr>
              <w:t>Least-cost pathway — values</w:t>
            </w: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 reported in the text of Section 4.3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C8263B3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2030.xlsx</w:t>
            </w:r>
            <w:r w:rsidRPr="007E0D26">
              <w:rPr>
                <w:rFonts w:ascii="Garamond" w:hAnsi="Garamond"/>
                <w:lang w:val="en-US"/>
              </w:rPr>
              <w:t xml:space="preserve"> →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NES</w:t>
            </w:r>
            <w:r w:rsidRPr="007E0D26">
              <w:rPr>
                <w:rFonts w:ascii="Garamond" w:hAnsi="Garamond"/>
                <w:lang w:val="en-US"/>
              </w:rPr>
              <w:t xml:space="preserve">: connections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C60–G60</w:t>
            </w:r>
            <w:r w:rsidRPr="007E0D26">
              <w:rPr>
                <w:rFonts w:ascii="Garamond" w:hAnsi="Garamond"/>
                <w:lang w:val="en-US"/>
              </w:rPr>
              <w:t xml:space="preserve"> (total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C60</w:t>
            </w:r>
            <w:r w:rsidRPr="007E0D26">
              <w:rPr>
                <w:rFonts w:ascii="Garamond" w:hAnsi="Garamond"/>
                <w:lang w:val="en-US"/>
              </w:rPr>
              <w:t xml:space="preserve">=10.36 m); investment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C61–G61</w:t>
            </w:r>
            <w:r w:rsidRPr="007E0D26">
              <w:rPr>
                <w:rFonts w:ascii="Garamond" w:hAnsi="Garamond"/>
                <w:lang w:val="en-US"/>
              </w:rPr>
              <w:t xml:space="preserve"> (total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C61</w:t>
            </w:r>
            <w:r w:rsidRPr="007E0D26">
              <w:rPr>
                <w:rFonts w:ascii="Garamond" w:hAnsi="Garamond"/>
                <w:lang w:val="en-US"/>
              </w:rPr>
              <w:t xml:space="preserve">=USD 4,680 m); technology shares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C23:D25</w:t>
            </w:r>
            <w:r w:rsidRPr="007E0D26">
              <w:rPr>
                <w:rFonts w:ascii="Garamond" w:hAnsi="Garamond"/>
                <w:lang w:val="en-US"/>
              </w:rPr>
              <w:t>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13796C2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Reproduced. </w:t>
            </w:r>
            <w:r w:rsidRPr="007E0D26">
              <w:rPr>
                <w:rFonts w:ascii="Garamond" w:hAnsi="Garamond"/>
                <w:lang w:val="en-US"/>
              </w:rPr>
              <w:t>≈USD 4.7 bn, ≈10.4 m connections; by people 45% grid / 2% mini-grid / 53% stand-alone (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C23/C24/C25</w:t>
            </w:r>
            <w:r w:rsidRPr="007E0D26">
              <w:rPr>
                <w:rFonts w:ascii="Garamond" w:hAnsi="Garamond"/>
                <w:lang w:val="en-US"/>
              </w:rPr>
              <w:t>); by investment 83% / 8% / 9% (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D23/D24/D25</w:t>
            </w:r>
            <w:r w:rsidRPr="007E0D26">
              <w:rPr>
                <w:rFonts w:ascii="Garamond" w:hAnsi="Garamond"/>
                <w:lang w:val="en-US"/>
              </w:rPr>
              <w:t>). Originate in the NES and operationalized in the model.</w:t>
            </w:r>
          </w:p>
        </w:tc>
      </w:tr>
      <w:tr w:rsidR="00D31925" w:rsidRPr="007E0D26" w14:paraId="3B31F4E7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4FEB950" w14:textId="70D5252A" w:rsidR="00D31925" w:rsidRPr="007E0D26" w:rsidRDefault="007E0D26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lang w:val="en-US"/>
              </w:rPr>
              <w:t>Investment &amp; funding needs, 2030 vs 2040 —</w:t>
            </w: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 values reported in the text of Section 4.4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B180B74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lang w:val="en-US"/>
              </w:rPr>
              <w:t>Same cells as Table 1.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47C2F5D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Reproduced. </w:t>
            </w:r>
            <w:r w:rsidRPr="007E0D26">
              <w:rPr>
                <w:rFonts w:ascii="Garamond" w:hAnsi="Garamond"/>
                <w:lang w:val="en-US"/>
              </w:rPr>
              <w:t>Avg annual CAPEX 809.8→269.9; funding need 3.0→0.7 bn; grants 600→200 m; concessional debt 2.0 bn→370 m. 2040 CAPEX is exactly one third of base, hence −66.7% in each CAPEX row.</w:t>
            </w:r>
          </w:p>
        </w:tc>
      </w:tr>
      <w:tr w:rsidR="00D31925" w:rsidRPr="007E0D26" w14:paraId="4B5E60E1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68D0DE6" w14:textId="452D3B63" w:rsidR="00D31925" w:rsidRPr="007E0D26" w:rsidRDefault="00FC4AF4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FC4AF4">
              <w:rPr>
                <w:rFonts w:ascii="Garamond" w:hAnsi="Garamond"/>
                <w:lang w:val="en-US"/>
              </w:rPr>
              <w:t>Convergence to self-sustainability —</w:t>
            </w:r>
            <w:r w:rsidRPr="00FC4AF4">
              <w:rPr>
                <w:rFonts w:ascii="Garamond" w:hAnsi="Garamond"/>
                <w:b/>
                <w:bCs/>
                <w:lang w:val="en-US"/>
              </w:rPr>
              <w:t xml:space="preserve"> values reported in the text of Section 4.5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C5AEB12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2030.xlsx</w:t>
            </w:r>
            <w:r w:rsidRPr="007E0D26">
              <w:rPr>
                <w:rFonts w:ascii="Garamond" w:hAnsi="Garamond"/>
                <w:lang w:val="en-US"/>
              </w:rPr>
              <w:t xml:space="preserve"> →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UMEME , Service-Co</w:t>
            </w:r>
            <w:r w:rsidRPr="007E0D26">
              <w:rPr>
                <w:rFonts w:ascii="Garamond" w:hAnsi="Garamond"/>
                <w:lang w:val="en-US"/>
              </w:rPr>
              <w:t xml:space="preserve">; surfaced in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Summary of Tables</w:t>
            </w:r>
            <w:r w:rsidRPr="007E0D26">
              <w:rPr>
                <w:rFonts w:ascii="Garamond" w:hAnsi="Garamond"/>
                <w:lang w:val="en-US"/>
              </w:rPr>
              <w:t xml:space="preserve"> (Table 9 block): regulated tariff income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I161 / M161 / O161</w:t>
            </w:r>
            <w:r w:rsidRPr="007E0D26">
              <w:rPr>
                <w:rFonts w:ascii="Garamond" w:hAnsi="Garamond"/>
                <w:lang w:val="en-US"/>
              </w:rPr>
              <w:t xml:space="preserve">; surplus to Finance-Co </w:t>
            </w:r>
            <w:r w:rsidRPr="007E0D26">
              <w:rPr>
                <w:rFonts w:ascii="Garamond" w:eastAsia="Consolas" w:hAnsi="Garamond" w:cs="Consolas"/>
                <w:sz w:val="20"/>
                <w:szCs w:val="20"/>
                <w:lang w:val="en-US"/>
              </w:rPr>
              <w:t>I164 / M164 / O164</w:t>
            </w:r>
            <w:r w:rsidRPr="007E0D26">
              <w:rPr>
                <w:rFonts w:ascii="Garamond" w:hAnsi="Garamond"/>
                <w:lang w:val="en-US"/>
              </w:rPr>
              <w:t>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6F90C6B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Reproduced. </w:t>
            </w:r>
            <w:r w:rsidRPr="007E0D26">
              <w:rPr>
                <w:rFonts w:ascii="Garamond" w:hAnsi="Garamond"/>
                <w:lang w:val="en-US"/>
              </w:rPr>
              <w:t>Tariff income 590.9 / 1,728.3 / 6,796.1; surplus to Finance-Co 54.5 / 502.7 / 3,572.6. Matches companion Table 9 (p. 17).</w:t>
            </w:r>
          </w:p>
        </w:tc>
      </w:tr>
      <w:tr w:rsidR="00D31925" w:rsidRPr="007E0D26" w14:paraId="270CABC0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EB762E3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lastRenderedPageBreak/>
              <w:t>Table 2</w:t>
            </w:r>
            <w:r w:rsidRPr="007E0D26">
              <w:rPr>
                <w:rFonts w:ascii="Garamond" w:hAnsi="Garamond"/>
                <w:lang w:val="en-US"/>
              </w:rPr>
              <w:t xml:space="preserve"> — Zambia: five layers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C59A5C9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lang w:val="en-US"/>
              </w:rPr>
              <w:t>Not in this package.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639EB81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Out of scope. </w:t>
            </w:r>
            <w:r w:rsidRPr="007E0D26">
              <w:rPr>
                <w:rFonts w:ascii="Garamond" w:hAnsi="Garamond"/>
                <w:lang w:val="en-US"/>
              </w:rPr>
              <w:t>Reproduced by the separate Zambia package.</w:t>
            </w:r>
          </w:p>
        </w:tc>
      </w:tr>
      <w:tr w:rsidR="00D31925" w:rsidRPr="007E0D26" w14:paraId="6108C59E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C25B034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>Table 3</w:t>
            </w:r>
            <w:r w:rsidRPr="007E0D26">
              <w:rPr>
                <w:rFonts w:ascii="Garamond" w:hAnsi="Garamond"/>
                <w:lang w:val="en-US"/>
              </w:rPr>
              <w:t xml:space="preserve"> — Madagascar: two CERI districts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CE5915C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lang w:val="en-US"/>
              </w:rPr>
              <w:t>Not a model output.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E06416D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Not reproducible from code. </w:t>
            </w:r>
            <w:r w:rsidRPr="007E0D26">
              <w:rPr>
                <w:rFonts w:ascii="Garamond" w:hAnsi="Garamond"/>
                <w:lang w:val="en-US"/>
              </w:rPr>
              <w:t>Transcribed from GIZ (2025b, 2025c).</w:t>
            </w:r>
          </w:p>
        </w:tc>
      </w:tr>
      <w:tr w:rsidR="00D31925" w:rsidRPr="007E0D26" w14:paraId="4D97B78E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8922221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>Table 4</w:t>
            </w:r>
            <w:r w:rsidRPr="007E0D26">
              <w:rPr>
                <w:rFonts w:ascii="Garamond" w:hAnsi="Garamond"/>
                <w:lang w:val="en-US"/>
              </w:rPr>
              <w:t xml:space="preserve"> — calibration matrix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9341CC4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lang w:val="en-US"/>
              </w:rPr>
              <w:t>Not a model output.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F403756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Qualitative. </w:t>
            </w:r>
            <w:r w:rsidRPr="007E0D26">
              <w:rPr>
                <w:rFonts w:ascii="Garamond" w:hAnsi="Garamond"/>
                <w:lang w:val="en-US"/>
              </w:rPr>
              <w:t>Authors' synthesis.</w:t>
            </w:r>
          </w:p>
        </w:tc>
      </w:tr>
      <w:tr w:rsidR="00D31925" w:rsidRPr="007E0D26" w14:paraId="5AFC2742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069B035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>Figure 1</w:t>
            </w:r>
            <w:r w:rsidRPr="007E0D26">
              <w:rPr>
                <w:rFonts w:ascii="Garamond" w:hAnsi="Garamond"/>
                <w:lang w:val="en-US"/>
              </w:rPr>
              <w:t xml:space="preserve"> — Finance-Co's role / financial flows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199B122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lang w:val="en-US"/>
              </w:rPr>
              <w:t>Not a model output.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02D0A98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>Conceptual diagram.</w:t>
            </w:r>
          </w:p>
        </w:tc>
      </w:tr>
      <w:tr w:rsidR="00D31925" w:rsidRPr="007E0D26" w14:paraId="2EF20088" w14:textId="77777777" w:rsidTr="00FC4AF4">
        <w:tc>
          <w:tcPr>
            <w:tcW w:w="14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67B039A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>Figure 2</w:t>
            </w:r>
            <w:r w:rsidRPr="007E0D26">
              <w:rPr>
                <w:rFonts w:ascii="Garamond" w:hAnsi="Garamond"/>
                <w:lang w:val="en-US"/>
              </w:rPr>
              <w:t xml:space="preserve"> — separation of viability gap and financing needs (stylized rollout)</w:t>
            </w:r>
          </w:p>
        </w:tc>
        <w:tc>
          <w:tcPr>
            <w:tcW w:w="395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845F940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lang w:val="en-US"/>
              </w:rPr>
              <w:t>Not a direct model output.</w:t>
            </w:r>
          </w:p>
        </w:tc>
        <w:tc>
          <w:tcPr>
            <w:tcW w:w="3626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4F4F4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F77B89B" w14:textId="77777777" w:rsidR="00D31925" w:rsidRPr="007E0D26" w:rsidRDefault="00000000" w:rsidP="00FC4AF4">
            <w:pPr>
              <w:spacing w:after="40" w:line="252" w:lineRule="auto"/>
              <w:rPr>
                <w:rFonts w:ascii="Garamond" w:hAnsi="Garamond"/>
                <w:lang w:val="en-US"/>
              </w:rPr>
            </w:pPr>
            <w:r w:rsidRPr="007E0D26">
              <w:rPr>
                <w:rFonts w:ascii="Garamond" w:hAnsi="Garamond"/>
                <w:b/>
                <w:bCs/>
                <w:lang w:val="en-US"/>
              </w:rPr>
              <w:t xml:space="preserve">Illustrative schematic. </w:t>
            </w:r>
            <w:r w:rsidRPr="007E0D26">
              <w:rPr>
                <w:rFonts w:ascii="Garamond" w:hAnsi="Garamond"/>
                <w:lang w:val="en-US"/>
              </w:rPr>
              <w:t>Consistent with the Finance-Co cash flows, but stylized.</w:t>
            </w:r>
          </w:p>
        </w:tc>
      </w:tr>
    </w:tbl>
    <w:p w14:paraId="150B1C61" w14:textId="77777777" w:rsidR="00D31925" w:rsidRPr="007E0D26" w:rsidRDefault="00000000" w:rsidP="007647A5">
      <w:pPr>
        <w:pStyle w:val="Ttulo1"/>
      </w:pPr>
      <w:r w:rsidRPr="007E0D26">
        <w:t>5. Requirements</w:t>
      </w:r>
    </w:p>
    <w:p w14:paraId="664C66D7" w14:textId="77777777" w:rsidR="00D31925" w:rsidRPr="007E0D26" w:rsidRDefault="00000000" w:rsidP="007647A5">
      <w:pPr>
        <w:pStyle w:val="Ttulo2"/>
      </w:pPr>
      <w:r w:rsidRPr="007E0D26">
        <w:t>5.1 Computational requirements</w:t>
      </w:r>
    </w:p>
    <w:p w14:paraId="1C122963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Operating system: Windows or macOS capable of running Microsoft Excel. No high-performance computing required.</w:t>
      </w:r>
    </w:p>
    <w:p w14:paraId="7FCA884A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The package contains no executable code; all computation is performed by native Excel formulas at workbook open / recalculation, with iterative calculation enabled.</w:t>
      </w:r>
    </w:p>
    <w:p w14:paraId="17DB6A1C" w14:textId="77777777" w:rsidR="00D31925" w:rsidRPr="007E0D26" w:rsidRDefault="00000000" w:rsidP="007647A5">
      <w:pPr>
        <w:pStyle w:val="Ttulo2"/>
      </w:pPr>
      <w:r w:rsidRPr="007E0D26">
        <w:t>5.2 Software requirements</w:t>
      </w:r>
    </w:p>
    <w:p w14:paraId="578264F3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Microsoft Excel 2016 or later, or Microsoft 365, with iterative calculation enabled (100 iterations / max change 0.001 — already set in the delivered files).</w:t>
      </w:r>
    </w:p>
    <w:p w14:paraId="4067A1A2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Opening in non-Microsoft spreadsheet applications is not recommended: differences in iterative-calculation and formula handling can change recalculated values.</w:t>
      </w:r>
    </w:p>
    <w:p w14:paraId="62B09825" w14:textId="77777777" w:rsidR="00D31925" w:rsidRPr="007E0D26" w:rsidRDefault="00000000" w:rsidP="007647A5">
      <w:pPr>
        <w:pStyle w:val="Ttulo2"/>
      </w:pPr>
      <w:r w:rsidRPr="007E0D26">
        <w:t>5.3 Memory, runtime, and storage</w:t>
      </w:r>
    </w:p>
    <w:p w14:paraId="2BC9AA8B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Memory: a standard laptop (e.g., 8 GB RAM) is sufficient.</w:t>
      </w:r>
    </w:p>
    <w:p w14:paraId="72A06DEF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Runtime: </w:t>
      </w:r>
      <w:r w:rsidRPr="007E0D26">
        <w:rPr>
          <w:rFonts w:ascii="Garamond" w:hAnsi="Garamond"/>
          <w:lang w:val="en-US"/>
        </w:rPr>
        <w:t>opening and recalculating each workbook completes in well under five hours — typically under one minute on a standard machine. The World Bank's five-hour and one-day runtime provisions therefore do not apply, and no prior scheduling email is needed.</w:t>
      </w:r>
    </w:p>
    <w:p w14:paraId="0FA6690E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Storage: the two workbooks total ≈9.3 MB (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>2030.xlsx</w:t>
      </w:r>
      <w:r w:rsidRPr="007E0D26">
        <w:rPr>
          <w:rFonts w:ascii="Garamond" w:hAnsi="Garamond"/>
          <w:lang w:val="en-US"/>
        </w:rPr>
        <w:t xml:space="preserve"> ≈ 4.8 MB; 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>2040.xlsx</w:t>
      </w:r>
      <w:r w:rsidRPr="007E0D26">
        <w:rPr>
          <w:rFonts w:ascii="Garamond" w:hAnsi="Garamond"/>
          <w:lang w:val="en-US"/>
        </w:rPr>
        <w:t xml:space="preserve"> ≈ 4.5 MB). No archives are unzipped and no temporary files are written.</w:t>
      </w:r>
    </w:p>
    <w:p w14:paraId="7E1901E5" w14:textId="77777777" w:rsidR="00D31925" w:rsidRPr="007E0D26" w:rsidRDefault="00000000" w:rsidP="007647A5">
      <w:pPr>
        <w:pStyle w:val="Ttulo1"/>
      </w:pPr>
      <w:r w:rsidRPr="007E0D26">
        <w:lastRenderedPageBreak/>
        <w:t>6. Model (code) description</w:t>
      </w:r>
    </w:p>
    <w:p w14:paraId="206A96CB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lang w:val="en-US"/>
        </w:rPr>
        <w:t>Both workbooks share an identical architecture. Data flow: a planning driver feeds entity-level financial models, which are consolidated by the financing vehicle and compiled into the summary sheets. Full methodology in the companion paper, Section 4.</w:t>
      </w:r>
    </w:p>
    <w:p w14:paraId="3427B31A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eastAsia="Consolas" w:hAnsi="Garamond" w:cs="Consolas"/>
          <w:sz w:val="20"/>
          <w:szCs w:val="20"/>
          <w:lang w:val="en-US"/>
        </w:rPr>
        <w:t>NES</w:t>
      </w:r>
      <w:r w:rsidRPr="007E0D26">
        <w:rPr>
          <w:rFonts w:ascii="Garamond" w:hAnsi="Garamond"/>
          <w:lang w:val="en-US"/>
        </w:rPr>
        <w:t xml:space="preserve"> — National Electrification Strategy driver: annual new connections by mode (grid, mini-grid, stand-alone) and the associated distribution CAPEX. Encodes the MEMD &amp; World Bank (2022) plan.</w:t>
      </w:r>
    </w:p>
    <w:p w14:paraId="720EBF9D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>Entity sheets</w:t>
      </w:r>
      <w:r w:rsidRPr="007E0D26">
        <w:rPr>
          <w:rFonts w:ascii="Garamond" w:hAnsi="Garamond"/>
          <w:lang w:val="en-US"/>
        </w:rPr>
        <w:t xml:space="preserve"> — 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>UMEME , Service-Co</w:t>
      </w:r>
      <w:r w:rsidRPr="007E0D26">
        <w:rPr>
          <w:rFonts w:ascii="Garamond" w:hAnsi="Garamond"/>
          <w:lang w:val="en-US"/>
        </w:rPr>
        <w:t xml:space="preserve"> (private concession through 2025, Service-Co thereafter), 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>UNEC-UEDCL</w:t>
      </w:r>
      <w:r w:rsidRPr="007E0D26">
        <w:rPr>
          <w:rFonts w:ascii="Garamond" w:hAnsi="Garamond"/>
          <w:lang w:val="en-US"/>
        </w:rPr>
        <w:t xml:space="preserve"> (public distributor), and 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>Off-grid PCs</w:t>
      </w:r>
      <w:r w:rsidRPr="007E0D26">
        <w:rPr>
          <w:rFonts w:ascii="Garamond" w:hAnsi="Garamond"/>
          <w:lang w:val="en-US"/>
        </w:rPr>
        <w:t xml:space="preserve"> (aggregated off-grid providers): each with revenues, the regulated cost of service, and full financial statements.</w:t>
      </w:r>
    </w:p>
    <w:p w14:paraId="3AD9DBB4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eastAsia="Consolas" w:hAnsi="Garamond" w:cs="Consolas"/>
          <w:sz w:val="20"/>
          <w:szCs w:val="20"/>
          <w:lang w:val="en-US"/>
        </w:rPr>
        <w:t>FinanceCo</w:t>
      </w:r>
      <w:r w:rsidRPr="007E0D26">
        <w:rPr>
          <w:rFonts w:ascii="Garamond" w:hAnsi="Garamond"/>
          <w:lang w:val="en-US"/>
        </w:rPr>
        <w:t xml:space="preserve"> — the pooled, ring-fenced settlement vehicle: receives the Service-Co surplus, disburses viability-gap support and capital to off-grid providers, and raises grants, concessional debt, and equity; produces Finance-Co's statements and ratios (equity IRR, DSCR).</w:t>
      </w:r>
    </w:p>
    <w:p w14:paraId="52CE50FF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>Summary sheets</w:t>
      </w:r>
      <w:r w:rsidRPr="007E0D26">
        <w:rPr>
          <w:rFonts w:ascii="Garamond" w:hAnsi="Garamond"/>
          <w:lang w:val="en-US"/>
        </w:rPr>
        <w:t xml:space="preserve"> — 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>Summary of Tables</w:t>
      </w:r>
      <w:r w:rsidRPr="007E0D26">
        <w:rPr>
          <w:rFonts w:ascii="Garamond" w:hAnsi="Garamond"/>
          <w:lang w:val="en-US"/>
        </w:rPr>
        <w:t xml:space="preserve"> (compiles the Uganda comparative results and the entity statements) and </w:t>
      </w:r>
      <w:r w:rsidRPr="007E0D26">
        <w:rPr>
          <w:rFonts w:ascii="Garamond" w:eastAsia="Consolas" w:hAnsi="Garamond" w:cs="Consolas"/>
          <w:sz w:val="20"/>
          <w:szCs w:val="20"/>
          <w:lang w:val="en-US"/>
        </w:rPr>
        <w:t>Summary Financing</w:t>
      </w:r>
      <w:r w:rsidRPr="007E0D26">
        <w:rPr>
          <w:rFonts w:ascii="Garamond" w:hAnsi="Garamond"/>
          <w:lang w:val="en-US"/>
        </w:rPr>
        <w:t xml:space="preserve"> (sources and uses; financing composition 2026–30).</w:t>
      </w:r>
    </w:p>
    <w:p w14:paraId="500620DA" w14:textId="77777777" w:rsidR="00D31925" w:rsidRPr="007E0D26" w:rsidRDefault="00000000" w:rsidP="007E0D26">
      <w:pPr>
        <w:spacing w:after="12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>Notes for a verifier:</w:t>
      </w:r>
    </w:p>
    <w:p w14:paraId="16271959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Iterative calculation. </w:t>
      </w:r>
      <w:r w:rsidRPr="007E0D26">
        <w:rPr>
          <w:rFonts w:ascii="Garamond" w:hAnsi="Garamond"/>
          <w:lang w:val="en-US"/>
        </w:rPr>
        <w:t>The revenue-requirement / cost-of-service equilibrium is solved iteratively via circular references (companion paper Eqs. 1–4). Iterative calculation is enabled in the delivered files.</w:t>
      </w:r>
    </w:p>
    <w:p w14:paraId="3CB6BEFF" w14:textId="77777777" w:rsidR="00D31925" w:rsidRPr="007E0D26" w:rsidRDefault="00000000" w:rsidP="007E0D26">
      <w:pPr>
        <w:pStyle w:val="Prrafodelista"/>
        <w:numPr>
          <w:ilvl w:val="0"/>
          <w:numId w:val="1"/>
        </w:numPr>
        <w:spacing w:after="80" w:line="276" w:lineRule="auto"/>
        <w:jc w:val="both"/>
        <w:rPr>
          <w:rFonts w:ascii="Garamond" w:hAnsi="Garamond"/>
          <w:lang w:val="en-US"/>
        </w:rPr>
      </w:pPr>
      <w:r w:rsidRPr="007E0D26">
        <w:rPr>
          <w:rFonts w:ascii="Garamond" w:hAnsi="Garamond"/>
          <w:b/>
          <w:bCs/>
          <w:lang w:val="en-US"/>
        </w:rPr>
        <w:t xml:space="preserve">Cross-scenario columns (recommendation). </w:t>
      </w:r>
      <w:r w:rsidRPr="007E0D26">
        <w:rPr>
          <w:rFonts w:ascii="Garamond" w:hAnsi="Garamond"/>
          <w:lang w:val="en-US"/>
        </w:rPr>
        <w:t>The comparison block carries the counterpart scenario as static values copied from the other workbook. Consider replacing them with a cross-workbook link so the comparison cannot drift if a model is re-run.</w:t>
      </w:r>
    </w:p>
    <w:p w14:paraId="49CA1D38" w14:textId="77777777" w:rsidR="00D31925" w:rsidRDefault="00000000" w:rsidP="007647A5">
      <w:pPr>
        <w:pStyle w:val="Ttulo1"/>
      </w:pPr>
      <w:r w:rsidRPr="007E0D26">
        <w:t>7. Folder structure</w:t>
      </w:r>
    </w:p>
    <w:p w14:paraId="14E508E0" w14:textId="2E1089CA" w:rsidR="00FA0ABC" w:rsidRPr="00FA0ABC" w:rsidRDefault="00FA0ABC" w:rsidP="00FA0ABC">
      <w:pPr>
        <w:pStyle w:val="Ttulo1"/>
        <w:rPr>
          <w:b w:val="0"/>
          <w:bCs w:val="0"/>
          <w:color w:val="auto"/>
          <w:sz w:val="21"/>
          <w:szCs w:val="21"/>
        </w:rPr>
      </w:pPr>
      <w:r w:rsidRPr="00FA0ABC">
        <w:rPr>
          <w:b w:val="0"/>
          <w:bCs w:val="0"/>
          <w:color w:val="auto"/>
          <w:sz w:val="21"/>
          <w:szCs w:val="21"/>
        </w:rPr>
        <w:t>Uganda — (Folder structure):</w:t>
      </w:r>
    </w:p>
    <w:p w14:paraId="319248F3" w14:textId="1C081088" w:rsidR="00FA0ABC" w:rsidRPr="00FA0ABC" w:rsidRDefault="00FA0ABC" w:rsidP="00FA0ABC">
      <w:pPr>
        <w:pStyle w:val="Ttulo1"/>
        <w:numPr>
          <w:ilvl w:val="0"/>
          <w:numId w:val="3"/>
        </w:numPr>
        <w:rPr>
          <w:b w:val="0"/>
          <w:bCs w:val="0"/>
          <w:color w:val="auto"/>
          <w:sz w:val="21"/>
          <w:szCs w:val="21"/>
        </w:rPr>
      </w:pPr>
      <w:r w:rsidRPr="00FA0ABC">
        <w:rPr>
          <w:b w:val="0"/>
          <w:bCs w:val="0"/>
          <w:color w:val="auto"/>
          <w:sz w:val="21"/>
          <w:szCs w:val="21"/>
        </w:rPr>
        <w:t>An integrated…electrification.pdf — companion paper (Energy Economics; full methodology, data sources, and assumptions)</w:t>
      </w:r>
      <w:r>
        <w:rPr>
          <w:b w:val="0"/>
          <w:bCs w:val="0"/>
          <w:color w:val="auto"/>
          <w:sz w:val="21"/>
          <w:szCs w:val="21"/>
        </w:rPr>
        <w:t>.</w:t>
      </w:r>
    </w:p>
    <w:p w14:paraId="5405685E" w14:textId="7C6EE4F4" w:rsidR="00FA0ABC" w:rsidRPr="00FA0ABC" w:rsidRDefault="00FA0ABC" w:rsidP="00FA0ABC">
      <w:pPr>
        <w:pStyle w:val="Ttulo1"/>
        <w:numPr>
          <w:ilvl w:val="0"/>
          <w:numId w:val="3"/>
        </w:numPr>
        <w:rPr>
          <w:b w:val="0"/>
          <w:bCs w:val="0"/>
          <w:color w:val="auto"/>
          <w:sz w:val="21"/>
          <w:szCs w:val="21"/>
        </w:rPr>
      </w:pPr>
      <w:r w:rsidRPr="00FA0ABC">
        <w:rPr>
          <w:b w:val="0"/>
          <w:bCs w:val="0"/>
          <w:color w:val="auto"/>
          <w:sz w:val="21"/>
          <w:szCs w:val="21"/>
        </w:rPr>
        <w:t>README_Uganda.docx — this file</w:t>
      </w:r>
      <w:r>
        <w:rPr>
          <w:b w:val="0"/>
          <w:bCs w:val="0"/>
          <w:color w:val="auto"/>
          <w:sz w:val="21"/>
          <w:szCs w:val="21"/>
        </w:rPr>
        <w:t>.</w:t>
      </w:r>
    </w:p>
    <w:p w14:paraId="6E81D309" w14:textId="455263A5" w:rsidR="00FA0ABC" w:rsidRPr="00FA0ABC" w:rsidRDefault="00FA0ABC" w:rsidP="00FA0ABC">
      <w:pPr>
        <w:pStyle w:val="Ttulo1"/>
        <w:numPr>
          <w:ilvl w:val="0"/>
          <w:numId w:val="3"/>
        </w:numPr>
        <w:rPr>
          <w:b w:val="0"/>
          <w:bCs w:val="0"/>
          <w:color w:val="auto"/>
          <w:sz w:val="21"/>
          <w:szCs w:val="21"/>
        </w:rPr>
      </w:pPr>
      <w:r w:rsidRPr="00FA0ABC">
        <w:rPr>
          <w:b w:val="0"/>
          <w:bCs w:val="0"/>
          <w:color w:val="auto"/>
          <w:sz w:val="21"/>
          <w:szCs w:val="21"/>
        </w:rPr>
        <w:t>Uganda_Electrification_Model_2030.xlsx — base-case model (universal access by 2030)</w:t>
      </w:r>
      <w:r>
        <w:rPr>
          <w:b w:val="0"/>
          <w:bCs w:val="0"/>
          <w:color w:val="auto"/>
          <w:sz w:val="21"/>
          <w:szCs w:val="21"/>
        </w:rPr>
        <w:t>.</w:t>
      </w:r>
    </w:p>
    <w:p w14:paraId="4AD3E187" w14:textId="04C5864A" w:rsidR="00D31925" w:rsidRPr="00FA0ABC" w:rsidRDefault="00FA0ABC" w:rsidP="00FA0ABC">
      <w:pPr>
        <w:pStyle w:val="Ttulo1"/>
        <w:numPr>
          <w:ilvl w:val="0"/>
          <w:numId w:val="3"/>
        </w:numPr>
        <w:rPr>
          <w:b w:val="0"/>
          <w:bCs w:val="0"/>
          <w:color w:val="auto"/>
          <w:sz w:val="21"/>
          <w:szCs w:val="21"/>
        </w:rPr>
      </w:pPr>
      <w:r w:rsidRPr="00FA0ABC">
        <w:rPr>
          <w:b w:val="0"/>
          <w:bCs w:val="0"/>
          <w:color w:val="auto"/>
          <w:sz w:val="21"/>
          <w:szCs w:val="21"/>
        </w:rPr>
        <w:t>Uganda_Electrification_Model_2040.xlsx — extended-horizon model (2040)</w:t>
      </w:r>
      <w:r>
        <w:rPr>
          <w:b w:val="0"/>
          <w:bCs w:val="0"/>
          <w:color w:val="auto"/>
          <w:sz w:val="21"/>
          <w:szCs w:val="21"/>
        </w:rPr>
        <w:t>.</w:t>
      </w:r>
    </w:p>
    <w:sectPr w:rsidR="00D31925" w:rsidRPr="00FA0ABC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452751F"/>
    <w:multiLevelType w:val="hybridMultilevel"/>
    <w:tmpl w:val="E682945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321AED"/>
    <w:multiLevelType w:val="multilevel"/>
    <w:tmpl w:val="56AA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5B3E39"/>
    <w:multiLevelType w:val="hybridMultilevel"/>
    <w:tmpl w:val="AC90C522"/>
    <w:lvl w:ilvl="0" w:tplc="58728668">
      <w:start w:val="1"/>
      <w:numFmt w:val="bullet"/>
      <w:lvlText w:val="●"/>
      <w:lvlJc w:val="left"/>
      <w:pPr>
        <w:ind w:left="720" w:hanging="360"/>
      </w:pPr>
    </w:lvl>
    <w:lvl w:ilvl="1" w:tplc="E2DE13A8">
      <w:start w:val="1"/>
      <w:numFmt w:val="bullet"/>
      <w:lvlText w:val="○"/>
      <w:lvlJc w:val="left"/>
      <w:pPr>
        <w:ind w:left="1440" w:hanging="360"/>
      </w:pPr>
    </w:lvl>
    <w:lvl w:ilvl="2" w:tplc="63AC479E">
      <w:start w:val="1"/>
      <w:numFmt w:val="bullet"/>
      <w:lvlText w:val="■"/>
      <w:lvlJc w:val="left"/>
      <w:pPr>
        <w:ind w:left="2160" w:hanging="360"/>
      </w:pPr>
    </w:lvl>
    <w:lvl w:ilvl="3" w:tplc="E3B8B1DC">
      <w:start w:val="1"/>
      <w:numFmt w:val="bullet"/>
      <w:lvlText w:val="●"/>
      <w:lvlJc w:val="left"/>
      <w:pPr>
        <w:ind w:left="2880" w:hanging="360"/>
      </w:pPr>
    </w:lvl>
    <w:lvl w:ilvl="4" w:tplc="F3780210">
      <w:start w:val="1"/>
      <w:numFmt w:val="bullet"/>
      <w:lvlText w:val="○"/>
      <w:lvlJc w:val="left"/>
      <w:pPr>
        <w:ind w:left="3600" w:hanging="360"/>
      </w:pPr>
    </w:lvl>
    <w:lvl w:ilvl="5" w:tplc="842AB090">
      <w:start w:val="1"/>
      <w:numFmt w:val="bullet"/>
      <w:lvlText w:val="■"/>
      <w:lvlJc w:val="left"/>
      <w:pPr>
        <w:ind w:left="4320" w:hanging="360"/>
      </w:pPr>
    </w:lvl>
    <w:lvl w:ilvl="6" w:tplc="FE9675AC">
      <w:start w:val="1"/>
      <w:numFmt w:val="bullet"/>
      <w:lvlText w:val="●"/>
      <w:lvlJc w:val="left"/>
      <w:pPr>
        <w:ind w:left="5040" w:hanging="360"/>
      </w:pPr>
    </w:lvl>
    <w:lvl w:ilvl="7" w:tplc="BE543B7A">
      <w:start w:val="1"/>
      <w:numFmt w:val="bullet"/>
      <w:lvlText w:val="●"/>
      <w:lvlJc w:val="left"/>
      <w:pPr>
        <w:ind w:left="5760" w:hanging="360"/>
      </w:pPr>
    </w:lvl>
    <w:lvl w:ilvl="8" w:tplc="21A63A0E">
      <w:start w:val="1"/>
      <w:numFmt w:val="bullet"/>
      <w:lvlText w:val="●"/>
      <w:lvlJc w:val="left"/>
      <w:pPr>
        <w:ind w:left="6480" w:hanging="360"/>
      </w:pPr>
    </w:lvl>
  </w:abstractNum>
  <w:num w:numId="1" w16cid:durableId="2130081110">
    <w:abstractNumId w:val="2"/>
    <w:lvlOverride w:ilvl="0">
      <w:startOverride w:val="1"/>
    </w:lvlOverride>
  </w:num>
  <w:num w:numId="2" w16cid:durableId="783883599">
    <w:abstractNumId w:val="1"/>
  </w:num>
  <w:num w:numId="3" w16cid:durableId="94380242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925"/>
    <w:rsid w:val="00412A99"/>
    <w:rsid w:val="007647A5"/>
    <w:rsid w:val="007E0D26"/>
    <w:rsid w:val="00A11280"/>
    <w:rsid w:val="00D31925"/>
    <w:rsid w:val="00FA0ABC"/>
    <w:rsid w:val="00FC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27A11C"/>
  <w15:docId w15:val="{E13379E8-F852-1847-8CE5-A222178F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rsid w:val="007647A5"/>
    <w:pPr>
      <w:spacing w:before="280" w:after="240"/>
      <w:jc w:val="both"/>
      <w:outlineLvl w:val="0"/>
    </w:pPr>
    <w:rPr>
      <w:rFonts w:ascii="Garamond" w:hAnsi="Garamond"/>
      <w:b/>
      <w:bCs/>
      <w:color w:val="2E74B5"/>
      <w:sz w:val="30"/>
      <w:szCs w:val="30"/>
      <w:lang w:val="en-US"/>
    </w:rPr>
  </w:style>
  <w:style w:type="paragraph" w:styleId="Ttulo2">
    <w:name w:val="heading 2"/>
    <w:uiPriority w:val="9"/>
    <w:unhideWhenUsed/>
    <w:qFormat/>
    <w:rsid w:val="007647A5"/>
    <w:pPr>
      <w:spacing w:before="240" w:after="240"/>
      <w:jc w:val="both"/>
      <w:outlineLvl w:val="1"/>
    </w:pPr>
    <w:rPr>
      <w:rFonts w:ascii="Garamond" w:hAnsi="Garamond"/>
      <w:b/>
      <w:bCs/>
      <w:color w:val="2E74B5"/>
      <w:sz w:val="25"/>
      <w:szCs w:val="25"/>
      <w:lang w:val="en-US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7E0D2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7E0D2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ra.go.ug/tariff-schedul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mf.org/en/Countries/UG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rep.ug/document/national-electrification-strategy-for-uganda-national-electrification-strategy-study-report-nessr-vol1/" TargetMode="External"/><Relationship Id="rId11" Type="http://schemas.openxmlformats.org/officeDocument/2006/relationships/hyperlink" Target="https://taxsummaries.pwc.com/uganda/corporate/taxes-on-corporate-income" TargetMode="External"/><Relationship Id="rId5" Type="http://schemas.openxmlformats.org/officeDocument/2006/relationships/hyperlink" Target="https://doi.org/10.1016/j.eneco.2025.109033" TargetMode="External"/><Relationship Id="rId10" Type="http://schemas.openxmlformats.org/officeDocument/2006/relationships/hyperlink" Target="https://www.uedcl.co.u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meme.co.u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f34b0ab-fcf3-468f-92f9-73fe19b53e00}" enabled="1" method="Standard" siteId="{bcd2701c-aa9b-4d12-ba20-f3e3b83070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1927</Words>
  <Characters>10603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Santos J. Díaz Pastor</cp:lastModifiedBy>
  <cp:revision>4</cp:revision>
  <dcterms:created xsi:type="dcterms:W3CDTF">2026-06-29T09:27:00Z</dcterms:created>
  <dcterms:modified xsi:type="dcterms:W3CDTF">2026-06-29T12:00:00Z</dcterms:modified>
</cp:coreProperties>
</file>